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4C19FA">
      <w:pPr>
        <w:pStyle w:val="7"/>
        <w:keepNext w:val="0"/>
        <w:keepLines w:val="0"/>
        <w:pageBreakBefore w:val="0"/>
        <w:widowControl w:val="0"/>
        <w:kinsoku/>
        <w:wordWrap/>
        <w:overflowPunct/>
        <w:topLinePunct w:val="0"/>
        <w:bidi w:val="0"/>
        <w:snapToGrid/>
        <w:spacing w:line="720" w:lineRule="auto"/>
        <w:ind w:firstLine="640" w:firstLineChars="200"/>
        <w:jc w:val="center"/>
        <w:textAlignment w:val="auto"/>
        <w:rPr>
          <w:rFonts w:hint="eastAsia" w:ascii="黑体" w:hAnsi="黑体" w:eastAsia="黑体" w:cs="黑体"/>
          <w:b w:val="0"/>
          <w:bCs/>
          <w:sz w:val="32"/>
          <w:szCs w:val="32"/>
        </w:rPr>
      </w:pPr>
      <w:r>
        <w:rPr>
          <w:rFonts w:hint="eastAsia" w:hAnsi="黑体" w:cs="黑体"/>
          <w:b w:val="0"/>
          <w:bCs/>
          <w:sz w:val="32"/>
          <w:szCs w:val="32"/>
          <w:lang w:eastAsia="zh-CN"/>
        </w:rPr>
        <w:t>新晃县水利局</w:t>
      </w:r>
      <w:r>
        <w:rPr>
          <w:rFonts w:hint="eastAsia" w:ascii="黑体" w:hAnsi="黑体" w:eastAsia="黑体" w:cs="黑体"/>
          <w:b w:val="0"/>
          <w:bCs/>
          <w:sz w:val="32"/>
          <w:szCs w:val="32"/>
        </w:rPr>
        <w:t>关于</w:t>
      </w: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4</w:t>
      </w:r>
      <w:r>
        <w:rPr>
          <w:rFonts w:hint="eastAsia" w:ascii="黑体" w:hAnsi="黑体" w:eastAsia="黑体" w:cs="黑体"/>
          <w:b w:val="0"/>
          <w:bCs/>
          <w:sz w:val="32"/>
          <w:szCs w:val="32"/>
        </w:rPr>
        <w:t>年度预算绩效情况的说明</w:t>
      </w:r>
    </w:p>
    <w:p w14:paraId="46C41B4E">
      <w:pPr>
        <w:numPr>
          <w:ilvl w:val="0"/>
          <w:numId w:val="0"/>
        </w:numPr>
        <w:overflowPunct w:val="0"/>
        <w:spacing w:line="600" w:lineRule="exact"/>
        <w:ind w:firstLine="643" w:firstLineChars="200"/>
        <w:rPr>
          <w:rFonts w:ascii="Times New Roman" w:hAnsi="Times New Roman" w:eastAsia="楷体_GB2312" w:cs="Times New Roman"/>
          <w:b/>
          <w:bCs/>
          <w:sz w:val="32"/>
          <w:szCs w:val="32"/>
        </w:rPr>
      </w:pPr>
      <w:r>
        <w:rPr>
          <w:rFonts w:hint="eastAsia" w:ascii="Times New Roman" w:hAnsi="Times New Roman" w:eastAsia="楷体_GB2312" w:cs="Times New Roman"/>
          <w:b/>
          <w:bCs/>
          <w:sz w:val="32"/>
          <w:szCs w:val="32"/>
          <w:lang w:eastAsia="zh-CN"/>
        </w:rPr>
        <w:t>一、</w:t>
      </w:r>
      <w:r>
        <w:rPr>
          <w:rFonts w:ascii="Times New Roman" w:hAnsi="Times New Roman" w:eastAsia="楷体_GB2312" w:cs="Times New Roman"/>
          <w:b/>
          <w:bCs/>
          <w:sz w:val="32"/>
          <w:szCs w:val="32"/>
        </w:rPr>
        <w:t>绩效评价工作开展情况。</w:t>
      </w:r>
    </w:p>
    <w:p w14:paraId="295019C5">
      <w:pPr>
        <w:numPr>
          <w:ilvl w:val="0"/>
          <w:numId w:val="1"/>
        </w:numPr>
        <w:overflowPunct w:val="0"/>
        <w:spacing w:line="600" w:lineRule="exact"/>
        <w:ind w:firstLine="643" w:firstLineChars="200"/>
        <w:rPr>
          <w:rFonts w:ascii="Times New Roman" w:hAnsi="Times New Roman" w:eastAsia="楷体" w:cs="Times New Roman"/>
          <w:b/>
          <w:bCs/>
          <w:sz w:val="32"/>
          <w:szCs w:val="32"/>
        </w:rPr>
      </w:pPr>
      <w:r>
        <w:rPr>
          <w:rFonts w:ascii="Times New Roman" w:hAnsi="Times New Roman" w:eastAsia="仿宋_GB2312" w:cs="Times New Roman"/>
          <w:b/>
          <w:bCs/>
          <w:kern w:val="0"/>
          <w:sz w:val="32"/>
          <w:szCs w:val="32"/>
        </w:rPr>
        <w:t>绩效自评开展情况。</w:t>
      </w:r>
      <w:r>
        <w:rPr>
          <w:rFonts w:hint="eastAsia" w:ascii="Times New Roman" w:hAnsi="Times New Roman" w:eastAsia="仿宋_GB2312" w:cs="Times New Roman"/>
          <w:b/>
          <w:bCs/>
          <w:kern w:val="0"/>
          <w:sz w:val="32"/>
          <w:szCs w:val="32"/>
          <w:lang w:val="en-US" w:eastAsia="zh-CN"/>
        </w:rPr>
        <w:t>我单位</w:t>
      </w:r>
      <w:r>
        <w:rPr>
          <w:rFonts w:ascii="Times New Roman" w:hAnsi="Times New Roman" w:eastAsia="仿宋_GB2312" w:cs="Times New Roman"/>
          <w:kern w:val="0"/>
          <w:sz w:val="32"/>
          <w:szCs w:val="32"/>
        </w:rPr>
        <w:t>组织对2024年度本部门整体支出开展绩效自评，涉及项目</w:t>
      </w:r>
      <w:r>
        <w:rPr>
          <w:rFonts w:hint="eastAsia" w:ascii="Times New Roman" w:hAnsi="Times New Roman" w:eastAsia="仿宋_GB2312" w:cs="Times New Roman"/>
          <w:kern w:val="0"/>
          <w:sz w:val="32"/>
          <w:szCs w:val="32"/>
          <w:lang w:val="en-US" w:eastAsia="zh-CN"/>
        </w:rPr>
        <w:t>20</w:t>
      </w:r>
      <w:r>
        <w:rPr>
          <w:rFonts w:ascii="Times New Roman" w:hAnsi="Times New Roman" w:eastAsia="仿宋_GB2312" w:cs="Times New Roman"/>
          <w:kern w:val="0"/>
          <w:sz w:val="32"/>
          <w:szCs w:val="32"/>
        </w:rPr>
        <w:t xml:space="preserve"> 个，共涉及资金</w:t>
      </w:r>
      <w:r>
        <w:rPr>
          <w:rFonts w:hint="eastAsia" w:ascii="仿宋_GB2312" w:hAnsi="仿宋_GB2312" w:eastAsia="仿宋_GB2312" w:cs="仿宋_GB2312"/>
          <w:color w:val="auto"/>
          <w:sz w:val="32"/>
          <w:szCs w:val="32"/>
          <w:lang w:val="en-US" w:eastAsia="zh-CN"/>
        </w:rPr>
        <w:t>10940.35</w:t>
      </w:r>
      <w:r>
        <w:rPr>
          <w:rFonts w:ascii="Times New Roman" w:hAnsi="Times New Roman" w:eastAsia="仿宋_GB2312" w:cs="Times New Roman"/>
          <w:kern w:val="0"/>
          <w:sz w:val="32"/>
          <w:szCs w:val="32"/>
        </w:rPr>
        <w:t>万元。其中，一般公共预算项目</w:t>
      </w:r>
      <w:r>
        <w:rPr>
          <w:rFonts w:hint="eastAsia" w:ascii="Times New Roman" w:hAnsi="Times New Roman" w:eastAsia="仿宋_GB2312" w:cs="Times New Roman"/>
          <w:kern w:val="0"/>
          <w:sz w:val="32"/>
          <w:szCs w:val="32"/>
          <w:lang w:val="en-US" w:eastAsia="zh-CN"/>
        </w:rPr>
        <w:t>20</w:t>
      </w:r>
      <w:r>
        <w:rPr>
          <w:rFonts w:ascii="Times New Roman" w:hAnsi="Times New Roman" w:eastAsia="仿宋_GB2312" w:cs="Times New Roman"/>
          <w:kern w:val="0"/>
          <w:sz w:val="32"/>
          <w:szCs w:val="32"/>
        </w:rPr>
        <w:t xml:space="preserve"> 个</w:t>
      </w:r>
      <w:r>
        <w:rPr>
          <w:rFonts w:hint="eastAsia" w:ascii="Times New Roman" w:hAnsi="Times New Roman" w:eastAsia="仿宋_GB2312" w:cs="Times New Roman"/>
          <w:kern w:val="0"/>
          <w:sz w:val="32"/>
          <w:szCs w:val="32"/>
          <w:lang w:val="en-US" w:eastAsia="zh-CN"/>
        </w:rPr>
        <w:t>9954.75</w:t>
      </w:r>
      <w:r>
        <w:rPr>
          <w:rFonts w:ascii="Times New Roman" w:hAnsi="Times New Roman" w:eastAsia="仿宋_GB2312" w:cs="Times New Roman"/>
          <w:kern w:val="0"/>
          <w:sz w:val="32"/>
          <w:szCs w:val="32"/>
        </w:rPr>
        <w:t xml:space="preserve"> 万元，占一般公共预算支出总额的</w:t>
      </w:r>
      <w:r>
        <w:rPr>
          <w:rFonts w:hint="eastAsia" w:ascii="Times New Roman" w:hAnsi="Times New Roman" w:eastAsia="仿宋_GB2312" w:cs="Times New Roman"/>
          <w:kern w:val="0"/>
          <w:sz w:val="32"/>
          <w:szCs w:val="32"/>
          <w:lang w:val="en-US" w:eastAsia="zh-CN"/>
        </w:rPr>
        <w:t>100</w:t>
      </w:r>
      <w:r>
        <w:rPr>
          <w:rFonts w:ascii="Times New Roman" w:hAnsi="Times New Roman" w:eastAsia="仿宋_GB2312" w:cs="Times New Roman"/>
          <w:kern w:val="0"/>
          <w:sz w:val="32"/>
          <w:szCs w:val="32"/>
        </w:rPr>
        <w:t>%；政府性基金预算项目</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 xml:space="preserve"> 个</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万元，占政府性基金预算支出总额的</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%；国有资本经营预算项目</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 xml:space="preserve"> 个</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 xml:space="preserve"> 万元，占国有资本经营预算支出总额的</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%；社会保险基金预算项目</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 xml:space="preserve"> 个</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 xml:space="preserve"> 万元，占社会保险基金预算支出总额的</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w:t>
      </w:r>
    </w:p>
    <w:p w14:paraId="647ADE16">
      <w:pPr>
        <w:numPr>
          <w:ilvl w:val="0"/>
          <w:numId w:val="1"/>
        </w:numPr>
        <w:overflowPunct w:val="0"/>
        <w:spacing w:line="600" w:lineRule="exact"/>
        <w:ind w:firstLine="643" w:firstLineChars="200"/>
        <w:rPr>
          <w:rFonts w:ascii="Times New Roman" w:hAnsi="Times New Roman" w:eastAsia="楷体" w:cs="Times New Roman"/>
          <w:b/>
          <w:bCs/>
          <w:sz w:val="32"/>
          <w:szCs w:val="32"/>
        </w:rPr>
      </w:pPr>
      <w:r>
        <w:rPr>
          <w:rFonts w:ascii="Times New Roman" w:hAnsi="Times New Roman" w:eastAsia="仿宋_GB2312" w:cs="Times New Roman"/>
          <w:b/>
          <w:bCs/>
          <w:kern w:val="0"/>
          <w:sz w:val="32"/>
          <w:szCs w:val="32"/>
        </w:rPr>
        <w:t>部门评价开展情况。</w:t>
      </w:r>
      <w:r>
        <w:rPr>
          <w:rFonts w:ascii="Times New Roman" w:hAnsi="Times New Roman" w:eastAsia="仿宋_GB2312" w:cs="Times New Roman"/>
          <w:kern w:val="0"/>
          <w:sz w:val="32"/>
          <w:szCs w:val="32"/>
        </w:rPr>
        <w:t>组织2024年度</w:t>
      </w:r>
      <w:r>
        <w:rPr>
          <w:rFonts w:hint="eastAsia" w:ascii="Times New Roman" w:hAnsi="Times New Roman" w:eastAsia="仿宋_GB2312" w:cs="Times New Roman"/>
          <w:kern w:val="0"/>
          <w:sz w:val="32"/>
          <w:szCs w:val="32"/>
        </w:rPr>
        <w:t>朝阳水库加固</w:t>
      </w:r>
      <w:r>
        <w:rPr>
          <w:rFonts w:hint="eastAsia" w:ascii="Times New Roman" w:hAnsi="Times New Roman" w:eastAsia="仿宋_GB2312" w:cs="Times New Roman"/>
          <w:kern w:val="0"/>
          <w:sz w:val="32"/>
          <w:szCs w:val="32"/>
          <w:lang w:eastAsia="zh-CN"/>
        </w:rPr>
        <w:t>、2024小水库除险加固、2024小型灌区建设项目</w:t>
      </w:r>
      <w:r>
        <w:rPr>
          <w:rFonts w:ascii="Times New Roman" w:hAnsi="Times New Roman" w:eastAsia="仿宋_GB2312" w:cs="Times New Roman"/>
          <w:kern w:val="0"/>
          <w:sz w:val="32"/>
          <w:szCs w:val="32"/>
        </w:rPr>
        <w:t>等</w:t>
      </w:r>
      <w:r>
        <w:rPr>
          <w:rFonts w:hint="eastAsia" w:ascii="Times New Roman" w:hAnsi="Times New Roman" w:eastAsia="仿宋_GB2312" w:cs="Times New Roman"/>
          <w:kern w:val="0"/>
          <w:sz w:val="32"/>
          <w:szCs w:val="32"/>
          <w:lang w:val="en-US" w:eastAsia="zh-CN"/>
        </w:rPr>
        <w:t>20</w:t>
      </w:r>
      <w:r>
        <w:rPr>
          <w:rFonts w:ascii="Times New Roman" w:hAnsi="Times New Roman" w:eastAsia="仿宋_GB2312" w:cs="Times New Roman"/>
          <w:kern w:val="0"/>
          <w:sz w:val="32"/>
          <w:szCs w:val="32"/>
        </w:rPr>
        <w:t>个项目开展了部门评价，涉及一般公共预算支出</w:t>
      </w:r>
      <w:r>
        <w:rPr>
          <w:rFonts w:hint="eastAsia" w:ascii="Times New Roman" w:hAnsi="Times New Roman" w:eastAsia="仿宋_GB2312" w:cs="Times New Roman"/>
          <w:kern w:val="0"/>
          <w:sz w:val="32"/>
          <w:szCs w:val="32"/>
          <w:lang w:val="en-US" w:eastAsia="zh-CN"/>
        </w:rPr>
        <w:t>9954.75</w:t>
      </w:r>
      <w:r>
        <w:rPr>
          <w:rFonts w:ascii="Times New Roman" w:hAnsi="Times New Roman" w:eastAsia="仿宋_GB2312" w:cs="Times New Roman"/>
          <w:kern w:val="0"/>
          <w:sz w:val="32"/>
          <w:szCs w:val="32"/>
        </w:rPr>
        <w:t>万元，政府性基金预算支出</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万元，国有资本经营预算支出</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万元，社会保险基金预算支出</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万元。</w:t>
      </w:r>
    </w:p>
    <w:p w14:paraId="2BE10005">
      <w:pPr>
        <w:numPr>
          <w:ilvl w:val="0"/>
          <w:numId w:val="1"/>
        </w:numPr>
        <w:overflowPunct w:val="0"/>
        <w:spacing w:line="600" w:lineRule="exact"/>
        <w:ind w:firstLine="643" w:firstLineChars="200"/>
        <w:rPr>
          <w:rFonts w:ascii="Times New Roman" w:hAnsi="Times New Roman" w:eastAsia="楷体" w:cs="Times New Roman"/>
          <w:b/>
          <w:bCs/>
          <w:sz w:val="32"/>
          <w:szCs w:val="32"/>
        </w:rPr>
      </w:pPr>
      <w:r>
        <w:rPr>
          <w:rFonts w:ascii="Times New Roman" w:hAnsi="Times New Roman" w:eastAsia="仿宋_GB2312" w:cs="Times New Roman"/>
          <w:b/>
          <w:bCs/>
          <w:kern w:val="0"/>
          <w:sz w:val="32"/>
          <w:szCs w:val="32"/>
        </w:rPr>
        <w:t>事前绩效评估开展情况。</w:t>
      </w:r>
      <w:r>
        <w:rPr>
          <w:rFonts w:ascii="Times New Roman" w:hAnsi="Times New Roman" w:eastAsia="仿宋_GB2312" w:cs="Times New Roman"/>
          <w:kern w:val="0"/>
          <w:sz w:val="32"/>
          <w:szCs w:val="32"/>
        </w:rPr>
        <w:t>组织对2024年度</w:t>
      </w:r>
      <w:r>
        <w:rPr>
          <w:rFonts w:hint="eastAsia" w:ascii="Times New Roman" w:hAnsi="Times New Roman" w:eastAsia="仿宋_GB2312" w:cs="Times New Roman"/>
          <w:kern w:val="0"/>
          <w:sz w:val="32"/>
          <w:szCs w:val="32"/>
          <w:lang w:val="en-US" w:eastAsia="zh-CN"/>
        </w:rPr>
        <w:t>1</w:t>
      </w:r>
      <w:r>
        <w:rPr>
          <w:rFonts w:ascii="Times New Roman" w:hAnsi="Times New Roman" w:eastAsia="仿宋_GB2312" w:cs="Times New Roman"/>
          <w:kern w:val="0"/>
          <w:sz w:val="32"/>
          <w:szCs w:val="32"/>
        </w:rPr>
        <w:t>个重大项目开展事前绩效评估，共涉及资金</w:t>
      </w:r>
      <w:r>
        <w:rPr>
          <w:rFonts w:hint="eastAsia" w:ascii="Times New Roman" w:hAnsi="Times New Roman" w:eastAsia="仿宋_GB2312" w:cs="Times New Roman"/>
          <w:kern w:val="0"/>
          <w:sz w:val="32"/>
          <w:szCs w:val="32"/>
          <w:lang w:val="en-US" w:eastAsia="zh-CN"/>
        </w:rPr>
        <w:t>2240</w:t>
      </w:r>
      <w:r>
        <w:rPr>
          <w:rFonts w:ascii="Times New Roman" w:hAnsi="Times New Roman" w:eastAsia="仿宋_GB2312" w:cs="Times New Roman"/>
          <w:kern w:val="0"/>
          <w:sz w:val="32"/>
          <w:szCs w:val="32"/>
        </w:rPr>
        <w:t>万元。</w:t>
      </w:r>
    </w:p>
    <w:p w14:paraId="6EDA3889">
      <w:pPr>
        <w:numPr>
          <w:ilvl w:val="0"/>
          <w:numId w:val="2"/>
        </w:numPr>
        <w:overflowPunct w:val="0"/>
        <w:spacing w:line="600" w:lineRule="exact"/>
        <w:ind w:firstLine="643" w:firstLineChars="200"/>
        <w:rPr>
          <w:rFonts w:ascii="Times New Roman" w:hAnsi="Times New Roman" w:eastAsia="楷体_GB2312" w:cs="Times New Roman"/>
          <w:b/>
          <w:bCs/>
          <w:sz w:val="32"/>
          <w:szCs w:val="32"/>
        </w:rPr>
      </w:pPr>
      <w:r>
        <w:rPr>
          <w:rFonts w:ascii="Times New Roman" w:hAnsi="Times New Roman" w:eastAsia="楷体_GB2312" w:cs="Times New Roman"/>
          <w:b/>
          <w:bCs/>
          <w:sz w:val="32"/>
          <w:szCs w:val="32"/>
        </w:rPr>
        <w:t>绩效评价结果。</w:t>
      </w:r>
    </w:p>
    <w:p w14:paraId="36C50399">
      <w:pPr>
        <w:keepNext w:val="0"/>
        <w:keepLines w:val="0"/>
        <w:pageBreakBefore w:val="0"/>
        <w:kinsoku/>
        <w:wordWrap/>
        <w:overflowPunct/>
        <w:topLinePunct w:val="0"/>
        <w:autoSpaceDE/>
        <w:autoSpaceDN/>
        <w:bidi w:val="0"/>
        <w:adjustRightInd/>
        <w:snapToGrid/>
        <w:spacing w:line="580" w:lineRule="exact"/>
        <w:ind w:firstLine="643" w:firstLineChars="200"/>
        <w:jc w:val="both"/>
        <w:textAlignment w:val="auto"/>
        <w:rPr>
          <w:rFonts w:ascii="Times New Roman" w:hAnsi="Times New Roman" w:eastAsia="仿宋_GB2312" w:cs="Times New Roman"/>
          <w:sz w:val="32"/>
          <w:szCs w:val="32"/>
        </w:rPr>
      </w:pPr>
      <w:r>
        <w:rPr>
          <w:rFonts w:hint="eastAsia" w:ascii="Times New Roman" w:hAnsi="Times New Roman" w:eastAsia="仿宋_GB2312" w:cs="Times New Roman"/>
          <w:b/>
          <w:bCs/>
          <w:kern w:val="0"/>
          <w:sz w:val="32"/>
          <w:szCs w:val="32"/>
          <w:lang w:eastAsia="zh-CN"/>
        </w:rPr>
        <w:t>（</w:t>
      </w:r>
      <w:r>
        <w:rPr>
          <w:rFonts w:hint="eastAsia" w:ascii="Times New Roman" w:hAnsi="Times New Roman" w:eastAsia="仿宋_GB2312" w:cs="Times New Roman"/>
          <w:b/>
          <w:bCs/>
          <w:kern w:val="0"/>
          <w:sz w:val="32"/>
          <w:szCs w:val="32"/>
          <w:lang w:val="en-US" w:eastAsia="zh-CN"/>
        </w:rPr>
        <w:t>一</w:t>
      </w:r>
      <w:r>
        <w:rPr>
          <w:rFonts w:hint="eastAsia" w:ascii="Times New Roman" w:hAnsi="Times New Roman" w:eastAsia="仿宋_GB2312" w:cs="Times New Roman"/>
          <w:b/>
          <w:bCs/>
          <w:kern w:val="0"/>
          <w:sz w:val="32"/>
          <w:szCs w:val="32"/>
          <w:lang w:eastAsia="zh-CN"/>
        </w:rPr>
        <w:t>）</w:t>
      </w:r>
      <w:r>
        <w:rPr>
          <w:rFonts w:ascii="Times New Roman" w:hAnsi="Times New Roman" w:eastAsia="仿宋_GB2312" w:cs="Times New Roman"/>
          <w:b/>
          <w:bCs/>
          <w:kern w:val="0"/>
          <w:sz w:val="32"/>
          <w:szCs w:val="32"/>
        </w:rPr>
        <w:t>绩效自评结果</w:t>
      </w:r>
      <w:r>
        <w:rPr>
          <w:rFonts w:hint="eastAsia" w:ascii="Times New Roman" w:hAnsi="Times New Roman" w:eastAsia="仿宋_GB2312" w:cs="Times New Roman"/>
          <w:b/>
          <w:bCs/>
          <w:kern w:val="0"/>
          <w:sz w:val="32"/>
          <w:szCs w:val="32"/>
          <w:lang w:eastAsia="zh-CN"/>
        </w:rPr>
        <w:t>。</w:t>
      </w:r>
      <w:r>
        <w:rPr>
          <w:rFonts w:ascii="Times New Roman" w:hAnsi="Times New Roman" w:eastAsia="仿宋_GB2312" w:cs="Times New Roman"/>
          <w:kern w:val="0"/>
          <w:sz w:val="32"/>
          <w:szCs w:val="32"/>
        </w:rPr>
        <w:t>2024年度本部门（单位）整体支出</w:t>
      </w:r>
      <w:r>
        <w:rPr>
          <w:rFonts w:ascii="Times New Roman" w:hAnsi="Times New Roman" w:eastAsia="仿宋_GB2312" w:cs="Times New Roman"/>
          <w:sz w:val="32"/>
          <w:szCs w:val="32"/>
        </w:rPr>
        <w:t>全年预算数</w:t>
      </w:r>
      <w:r>
        <w:rPr>
          <w:rFonts w:hint="eastAsia" w:ascii="Times New Roman" w:hAnsi="Times New Roman" w:eastAsia="仿宋_GB2312" w:cs="Times New Roman"/>
          <w:sz w:val="32"/>
          <w:szCs w:val="32"/>
          <w:lang w:val="en-US" w:eastAsia="zh-CN"/>
        </w:rPr>
        <w:t>2943.47</w:t>
      </w:r>
      <w:r>
        <w:rPr>
          <w:rFonts w:ascii="Times New Roman" w:hAnsi="Times New Roman" w:eastAsia="仿宋_GB2312" w:cs="Times New Roman"/>
          <w:sz w:val="32"/>
          <w:szCs w:val="32"/>
        </w:rPr>
        <w:t>万元，执行数</w:t>
      </w:r>
      <w:r>
        <w:rPr>
          <w:rFonts w:hint="eastAsia" w:ascii="仿宋_GB2312" w:hAnsi="仿宋_GB2312" w:eastAsia="仿宋_GB2312" w:cs="仿宋_GB2312"/>
          <w:color w:val="auto"/>
          <w:sz w:val="32"/>
          <w:szCs w:val="32"/>
          <w:lang w:val="en-US" w:eastAsia="zh-CN"/>
        </w:rPr>
        <w:t>10940.35</w:t>
      </w:r>
      <w:r>
        <w:rPr>
          <w:rFonts w:ascii="Times New Roman" w:hAnsi="Times New Roman" w:eastAsia="仿宋_GB2312" w:cs="Times New Roman"/>
          <w:sz w:val="32"/>
          <w:szCs w:val="32"/>
        </w:rPr>
        <w:t>万元，完成预算的</w:t>
      </w:r>
      <w:r>
        <w:rPr>
          <w:rFonts w:hint="eastAsia" w:ascii="Times New Roman" w:hAnsi="Times New Roman" w:eastAsia="仿宋_GB2312" w:cs="Times New Roman"/>
          <w:sz w:val="32"/>
          <w:szCs w:val="32"/>
          <w:lang w:val="en-US" w:eastAsia="zh-CN"/>
        </w:rPr>
        <w:t>371</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val="en-US" w:eastAsia="zh-CN"/>
        </w:rPr>
        <w:t>(说明:超额完成主要是中央增加水利国债项目资金)</w:t>
      </w:r>
      <w:r>
        <w:rPr>
          <w:rFonts w:ascii="Times New Roman" w:hAnsi="Times New Roman" w:eastAsia="仿宋_GB2312" w:cs="Times New Roman"/>
          <w:kern w:val="0"/>
          <w:sz w:val="32"/>
          <w:szCs w:val="32"/>
        </w:rPr>
        <w:t>，绩效自评得分</w:t>
      </w:r>
      <w:r>
        <w:rPr>
          <w:rFonts w:hint="eastAsia" w:ascii="Times New Roman" w:hAnsi="Times New Roman" w:eastAsia="仿宋_GB2312" w:cs="Times New Roman"/>
          <w:kern w:val="0"/>
          <w:sz w:val="32"/>
          <w:szCs w:val="32"/>
          <w:lang w:val="en-US" w:eastAsia="zh-CN"/>
        </w:rPr>
        <w:t>94.5</w:t>
      </w:r>
      <w:r>
        <w:rPr>
          <w:rFonts w:ascii="Times New Roman" w:hAnsi="Times New Roman" w:eastAsia="仿宋_GB2312" w:cs="Times New Roman"/>
          <w:sz w:val="32"/>
          <w:szCs w:val="32"/>
        </w:rPr>
        <w:t>分</w:t>
      </w:r>
      <w:r>
        <w:rPr>
          <w:rFonts w:ascii="Times New Roman" w:hAnsi="Times New Roman" w:eastAsia="仿宋_GB2312" w:cs="Times New Roman"/>
          <w:kern w:val="0"/>
          <w:sz w:val="32"/>
          <w:szCs w:val="32"/>
        </w:rPr>
        <w:t>，评价等级为</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eastAsia="zh-CN"/>
        </w:rPr>
        <w:t>优秀</w:t>
      </w:r>
      <w:r>
        <w:rPr>
          <w:rFonts w:ascii="Times New Roman" w:hAnsi="Times New Roman" w:eastAsia="仿宋_GB2312" w:cs="Times New Roman"/>
          <w:sz w:val="32"/>
          <w:szCs w:val="32"/>
        </w:rPr>
        <w:t>”。绩效目标完成情况：</w:t>
      </w:r>
    </w:p>
    <w:p w14:paraId="7FAF9C71">
      <w:pPr>
        <w:keepNext w:val="0"/>
        <w:keepLines w:val="0"/>
        <w:pageBreakBefore w:val="0"/>
        <w:kinsoku/>
        <w:wordWrap/>
        <w:overflowPunct/>
        <w:topLinePunct w:val="0"/>
        <w:autoSpaceDE/>
        <w:autoSpaceDN/>
        <w:bidi w:val="0"/>
        <w:adjustRightInd/>
        <w:snapToGrid/>
        <w:spacing w:line="580" w:lineRule="exact"/>
        <w:ind w:firstLine="643" w:firstLineChars="200"/>
        <w:jc w:val="both"/>
        <w:textAlignment w:val="auto"/>
        <w:rPr>
          <w:rFonts w:hint="eastAsia" w:ascii="仿宋_GB2312" w:hAnsi="仿宋_GB2312" w:eastAsia="仿宋_GB2312" w:cs="仿宋_GB2312"/>
          <w:color w:val="auto"/>
          <w:sz w:val="32"/>
          <w:szCs w:val="32"/>
          <w:shd w:val="clear" w:color="auto" w:fill="FFFFFF"/>
          <w:lang w:eastAsia="zh-CN"/>
        </w:rPr>
      </w:pPr>
      <w:r>
        <w:rPr>
          <w:rFonts w:hint="eastAsia" w:ascii="楷体_GB2312" w:hAnsi="楷体_GB2312" w:eastAsia="楷体_GB2312" w:cs="楷体_GB2312"/>
          <w:b/>
          <w:bCs/>
          <w:color w:val="auto"/>
          <w:sz w:val="32"/>
          <w:szCs w:val="32"/>
          <w:shd w:val="clear" w:color="auto" w:fill="FFFFFF"/>
          <w:lang w:val="en-US" w:eastAsia="zh-CN"/>
        </w:rPr>
        <w:t>1、</w:t>
      </w:r>
      <w:r>
        <w:rPr>
          <w:rFonts w:hint="eastAsia" w:ascii="楷体_GB2312" w:hAnsi="楷体_GB2312" w:eastAsia="楷体_GB2312" w:cs="楷体_GB2312"/>
          <w:b/>
          <w:bCs/>
          <w:color w:val="auto"/>
          <w:sz w:val="32"/>
          <w:szCs w:val="32"/>
          <w:shd w:val="clear" w:color="auto" w:fill="FFFFFF"/>
        </w:rPr>
        <w:t>年度履职目标</w:t>
      </w:r>
      <w:r>
        <w:rPr>
          <w:rFonts w:hint="eastAsia" w:ascii="楷体_GB2312" w:hAnsi="楷体_GB2312" w:eastAsia="楷体_GB2312" w:cs="楷体_GB2312"/>
          <w:b/>
          <w:bCs/>
          <w:color w:val="auto"/>
          <w:sz w:val="32"/>
          <w:szCs w:val="32"/>
          <w:shd w:val="clear" w:color="auto" w:fill="FFFFFF"/>
          <w:lang w:eastAsia="zh-CN"/>
        </w:rPr>
        <w:t>：</w:t>
      </w:r>
      <w:r>
        <w:rPr>
          <w:rFonts w:hint="eastAsia" w:ascii="仿宋_GB2312" w:hAnsi="仿宋_GB2312" w:eastAsia="仿宋_GB2312" w:cs="仿宋_GB2312"/>
          <w:color w:val="auto"/>
          <w:sz w:val="32"/>
          <w:szCs w:val="32"/>
          <w:shd w:val="clear" w:color="auto" w:fill="FFFFFF"/>
          <w:lang w:eastAsia="zh-CN"/>
        </w:rPr>
        <w:t>发展水利建设，完善水利设施，保障农村供水，助力乡村振兴。加强山洪灾害建设，确保防汛安全，促进依法行政，完善行政审批。进一步提升河湖管护能效，持续改善河湖面貌，建设美丽河湖、健康河湖、幸福河湖。完成小水电监管工作及安全生产。</w:t>
      </w:r>
    </w:p>
    <w:p w14:paraId="10ECB3B3">
      <w:pPr>
        <w:keepNext w:val="0"/>
        <w:keepLines w:val="0"/>
        <w:pageBreakBefore w:val="0"/>
        <w:kinsoku/>
        <w:wordWrap/>
        <w:overflowPunct/>
        <w:topLinePunct w:val="0"/>
        <w:autoSpaceDE/>
        <w:autoSpaceDN/>
        <w:bidi w:val="0"/>
        <w:adjustRightInd/>
        <w:snapToGrid/>
        <w:spacing w:line="580" w:lineRule="exact"/>
        <w:ind w:firstLine="643" w:firstLineChars="200"/>
        <w:jc w:val="both"/>
        <w:textAlignment w:val="auto"/>
        <w:rPr>
          <w:rFonts w:hint="eastAsia" w:ascii="仿宋_GB2312" w:hAnsi="仿宋_GB2312" w:eastAsia="仿宋_GB2312" w:cs="仿宋_GB2312"/>
          <w:color w:val="auto"/>
          <w:sz w:val="32"/>
          <w:szCs w:val="32"/>
          <w:lang w:val="en-US" w:eastAsia="zh-CN"/>
        </w:rPr>
      </w:pPr>
      <w:r>
        <w:rPr>
          <w:rFonts w:hint="eastAsia" w:ascii="楷体_GB2312" w:hAnsi="楷体_GB2312" w:eastAsia="楷体_GB2312" w:cs="楷体_GB2312"/>
          <w:b/>
          <w:bCs/>
          <w:color w:val="auto"/>
          <w:sz w:val="32"/>
          <w:szCs w:val="32"/>
          <w:shd w:val="clear" w:color="auto" w:fill="FFFFFF"/>
          <w:lang w:val="en-US" w:eastAsia="zh-CN"/>
        </w:rPr>
        <w:t>2、产出指标完成情况：</w:t>
      </w:r>
      <w:r>
        <w:rPr>
          <w:rFonts w:hint="eastAsia" w:ascii="仿宋_GB2312" w:hAnsi="仿宋_GB2312" w:eastAsia="仿宋_GB2312" w:cs="仿宋_GB2312"/>
          <w:color w:val="auto"/>
          <w:kern w:val="0"/>
          <w:sz w:val="32"/>
          <w:szCs w:val="32"/>
          <w:lang w:eastAsia="zh-CN"/>
        </w:rPr>
        <w:t>深入学习</w:t>
      </w:r>
      <w:r>
        <w:rPr>
          <w:rFonts w:hint="eastAsia" w:ascii="仿宋_GB2312" w:hAnsi="仿宋_GB2312" w:eastAsia="仿宋_GB2312" w:cs="仿宋_GB2312"/>
          <w:color w:val="auto"/>
          <w:kern w:val="0"/>
          <w:sz w:val="32"/>
          <w:szCs w:val="32"/>
          <w:highlight w:val="none"/>
          <w:lang w:eastAsia="zh-CN"/>
        </w:rPr>
        <w:t>习</w:t>
      </w:r>
      <w:r>
        <w:rPr>
          <w:rFonts w:hint="eastAsia" w:ascii="仿宋_GB2312" w:hAnsi="仿宋_GB2312" w:eastAsia="仿宋_GB2312" w:cs="仿宋_GB2312"/>
          <w:color w:val="auto"/>
          <w:kern w:val="0"/>
          <w:sz w:val="32"/>
          <w:szCs w:val="32"/>
          <w:lang w:eastAsia="zh-CN"/>
        </w:rPr>
        <w:t>近平总书记的重要论述，开展水利系统党建工作，</w:t>
      </w:r>
      <w:r>
        <w:rPr>
          <w:rFonts w:hint="eastAsia" w:ascii="仿宋_GB2312" w:hAnsi="仿宋_GB2312" w:eastAsia="仿宋_GB2312" w:cs="仿宋_GB2312"/>
          <w:color w:val="auto"/>
          <w:spacing w:val="0"/>
          <w:w w:val="100"/>
          <w:sz w:val="32"/>
          <w:szCs w:val="32"/>
        </w:rPr>
        <w:t>从严从实推动“三整顿两提升”干部作风建设专项活动，大力推进清廉水利工程建设</w:t>
      </w:r>
      <w:r>
        <w:rPr>
          <w:rFonts w:hint="eastAsia" w:ascii="仿宋_GB2312" w:hAnsi="仿宋_GB2312" w:eastAsia="仿宋_GB2312" w:cs="仿宋_GB2312"/>
          <w:color w:val="auto"/>
          <w:kern w:val="0"/>
          <w:sz w:val="32"/>
          <w:szCs w:val="32"/>
          <w:lang w:eastAsia="zh-CN"/>
        </w:rPr>
        <w:t>；推进我局</w:t>
      </w:r>
      <w:r>
        <w:rPr>
          <w:rFonts w:hint="eastAsia" w:ascii="仿宋_GB2312" w:hAnsi="仿宋_GB2312" w:eastAsia="仿宋_GB2312" w:cs="仿宋_GB2312"/>
          <w:color w:val="auto"/>
          <w:kern w:val="0"/>
          <w:sz w:val="32"/>
          <w:szCs w:val="32"/>
          <w:lang w:val="en-US" w:eastAsia="zh-CN"/>
        </w:rPr>
        <w:t>洞坪村和波洲村</w:t>
      </w:r>
      <w:r>
        <w:rPr>
          <w:rFonts w:hint="eastAsia" w:ascii="仿宋_GB2312" w:hAnsi="仿宋_GB2312" w:eastAsia="仿宋_GB2312" w:cs="仿宋_GB2312"/>
          <w:color w:val="auto"/>
          <w:kern w:val="0"/>
          <w:sz w:val="32"/>
          <w:szCs w:val="32"/>
          <w:lang w:eastAsia="zh-CN"/>
        </w:rPr>
        <w:t>的乡村振兴工作；按照省市关于“防大汛</w:t>
      </w:r>
      <w:r>
        <w:rPr>
          <w:rFonts w:hint="eastAsia" w:ascii="仿宋_GB2312" w:hAnsi="仿宋_GB2312" w:eastAsia="仿宋_GB2312" w:cs="仿宋_GB2312"/>
          <w:color w:val="auto"/>
          <w:sz w:val="32"/>
          <w:szCs w:val="32"/>
        </w:rPr>
        <w:t>、抗大灾、抢大险”的部署和要求，我局始终把安全备汛、严防大旱，确保群众生命财产安全的责任和使命牢记在心，不敢有丝毫懈怠</w:t>
      </w:r>
      <w:r>
        <w:rPr>
          <w:rFonts w:hint="eastAsia" w:ascii="仿宋_GB2312" w:hAnsi="仿宋_GB2312" w:eastAsia="仿宋_GB2312" w:cs="仿宋_GB2312"/>
          <w:color w:val="auto"/>
          <w:sz w:val="32"/>
          <w:szCs w:val="32"/>
          <w:lang w:eastAsia="zh-CN"/>
        </w:rPr>
        <w:t>；先后完成农村人饮运行与维护</w:t>
      </w:r>
      <w:r>
        <w:rPr>
          <w:rFonts w:hint="eastAsia" w:ascii="仿宋_GB2312" w:hAnsi="仿宋_GB2312" w:eastAsia="仿宋_GB2312" w:cs="仿宋_GB2312"/>
          <w:color w:val="auto"/>
          <w:sz w:val="32"/>
          <w:szCs w:val="32"/>
          <w:lang w:val="en-US" w:eastAsia="zh-CN"/>
        </w:rPr>
        <w:t>,</w:t>
      </w:r>
      <w:r>
        <w:rPr>
          <w:rFonts w:hint="eastAsia" w:ascii="仿宋_GB2312" w:hAnsi="仿宋_GB2312" w:eastAsia="仿宋_GB2312" w:cs="仿宋_GB2312"/>
          <w:b w:val="0"/>
          <w:bCs w:val="0"/>
          <w:color w:val="auto"/>
          <w:spacing w:val="0"/>
          <w:w w:val="100"/>
          <w:sz w:val="32"/>
          <w:szCs w:val="32"/>
          <w:highlight w:val="none"/>
          <w:lang w:eastAsia="zh-CN"/>
        </w:rPr>
        <w:t>增发国债水利建设等项目工程</w:t>
      </w:r>
      <w:r>
        <w:rPr>
          <w:rFonts w:hint="eastAsia" w:ascii="仿宋_GB2312" w:hAnsi="仿宋_GB2312" w:eastAsia="仿宋_GB2312" w:cs="仿宋_GB2312"/>
          <w:color w:val="auto"/>
          <w:sz w:val="32"/>
          <w:szCs w:val="32"/>
          <w:lang w:eastAsia="zh-CN"/>
        </w:rPr>
        <w:t>；做好水政执法工作，以“河长制”为抓手，落实属地“河长制”工作职责，促进我县水环境质量持续改善，实现美丽新晃建设的目标任务。</w:t>
      </w:r>
    </w:p>
    <w:p w14:paraId="19ECB23A">
      <w:pPr>
        <w:keepNext w:val="0"/>
        <w:keepLines w:val="0"/>
        <w:pageBreakBefore w:val="0"/>
        <w:wordWrap/>
        <w:overflowPunct/>
        <w:topLinePunct w:val="0"/>
        <w:bidi w:val="0"/>
        <w:spacing w:line="580" w:lineRule="exact"/>
        <w:ind w:firstLine="643" w:firstLineChars="200"/>
        <w:rPr>
          <w:rFonts w:hint="eastAsia" w:ascii="仿宋_GB2312" w:hAnsi="仿宋_GB2312" w:eastAsia="仿宋_GB2312" w:cs="仿宋_GB2312"/>
          <w:color w:val="auto"/>
          <w:spacing w:val="0"/>
          <w:w w:val="100"/>
          <w:kern w:val="2"/>
          <w:sz w:val="32"/>
          <w:szCs w:val="32"/>
          <w:vertAlign w:val="baseline"/>
          <w:lang w:val="en-US" w:eastAsia="zh-CN" w:bidi="ar"/>
        </w:rPr>
      </w:pPr>
      <w:r>
        <w:rPr>
          <w:rFonts w:hint="eastAsia" w:ascii="仿宋_GB2312" w:hAnsi="仿宋_GB2312" w:eastAsia="仿宋_GB2312" w:cs="仿宋_GB2312"/>
          <w:b/>
          <w:bCs/>
          <w:color w:val="auto"/>
          <w:spacing w:val="0"/>
          <w:w w:val="100"/>
          <w:kern w:val="2"/>
          <w:sz w:val="32"/>
          <w:szCs w:val="32"/>
          <w:vertAlign w:val="baseline"/>
          <w:lang w:val="en-US" w:eastAsia="zh-CN" w:bidi="ar"/>
        </w:rPr>
        <w:t>3、效益指标：</w:t>
      </w:r>
      <w:r>
        <w:rPr>
          <w:rFonts w:hint="eastAsia" w:ascii="仿宋_GB2312" w:hAnsi="仿宋_GB2312" w:eastAsia="仿宋_GB2312" w:cs="仿宋_GB2312"/>
          <w:color w:val="auto"/>
          <w:spacing w:val="0"/>
          <w:w w:val="100"/>
          <w:kern w:val="2"/>
          <w:sz w:val="32"/>
          <w:szCs w:val="32"/>
          <w:vertAlign w:val="baseline"/>
          <w:lang w:val="en-US" w:eastAsia="zh-CN" w:bidi="ar"/>
        </w:rPr>
        <w:t>2024年部门支出在满足了单位各项工作的正常开展，确保了各项计划和任务的完成，我单位各项工作取得不错的成绩.一是经济效益指标通过对人饮工程的维护、水库的除险加固在保护农田面积和保障水质安全效果明显；二是社会效益指标通过中小河流治理项目保护及受益人口数方面效果明显；三是生态效益指标通过水利工程实施及河长制日常工作改善河道生态环境、水质达标安全、饮用水持续安全。体现了单位较好的履职。履职效益达100%，群众满意度90%。</w:t>
      </w:r>
    </w:p>
    <w:p w14:paraId="41D10249">
      <w:pPr>
        <w:keepNext w:val="0"/>
        <w:keepLines w:val="0"/>
        <w:pageBreakBefore w:val="0"/>
        <w:wordWrap/>
        <w:overflowPunct/>
        <w:topLinePunct w:val="0"/>
        <w:bidi w:val="0"/>
        <w:spacing w:line="580" w:lineRule="exact"/>
        <w:ind w:firstLine="643" w:firstLineChars="200"/>
        <w:rPr>
          <w:rFonts w:hint="eastAsia" w:ascii="仿宋_GB2312" w:hAnsi="仿宋_GB2312" w:eastAsia="仿宋_GB2312" w:cs="仿宋_GB2312"/>
          <w:color w:val="auto"/>
          <w:spacing w:val="0"/>
          <w:w w:val="100"/>
          <w:kern w:val="2"/>
          <w:sz w:val="32"/>
          <w:szCs w:val="32"/>
          <w:vertAlign w:val="baseline"/>
          <w:lang w:val="en-US" w:eastAsia="zh-CN" w:bidi="ar"/>
        </w:rPr>
      </w:pPr>
      <w:r>
        <w:rPr>
          <w:rFonts w:hint="eastAsia" w:ascii="仿宋_GB2312" w:hAnsi="仿宋_GB2312" w:eastAsia="仿宋_GB2312" w:cs="仿宋_GB2312"/>
          <w:b/>
          <w:bCs/>
          <w:color w:val="auto"/>
          <w:spacing w:val="0"/>
          <w:w w:val="100"/>
          <w:kern w:val="2"/>
          <w:sz w:val="32"/>
          <w:szCs w:val="32"/>
          <w:vertAlign w:val="baseline"/>
          <w:lang w:val="en-US" w:eastAsia="zh-CN" w:bidi="ar"/>
        </w:rPr>
        <w:t>4、存在的问题及原因：一是</w:t>
      </w:r>
      <w:r>
        <w:rPr>
          <w:rFonts w:hint="default" w:ascii="仿宋_GB2312" w:hAnsi="仿宋_GB2312" w:eastAsia="仿宋_GB2312" w:cs="仿宋_GB2312"/>
          <w:color w:val="auto"/>
          <w:spacing w:val="0"/>
          <w:w w:val="100"/>
          <w:kern w:val="2"/>
          <w:sz w:val="32"/>
          <w:szCs w:val="32"/>
          <w:vertAlign w:val="baseline"/>
          <w:lang w:val="en-US" w:eastAsia="zh-CN" w:bidi="ar"/>
        </w:rPr>
        <w:t>队伍建设有待加强。水利专业技术人员年龄偏大，技术队伍多年没有“新鲜血液”补充，专技人员断层；执法人员欠缺。水利人才储备不足，各项工作涉及多个方面职责，专业性强，年年需要考核，但现有人员少且不稳定，公务员队伍整体年龄结构偏大。</w:t>
      </w:r>
      <w:r>
        <w:rPr>
          <w:rFonts w:hint="eastAsia" w:ascii="仿宋_GB2312" w:hAnsi="仿宋_GB2312" w:eastAsia="仿宋_GB2312" w:cs="仿宋_GB2312"/>
          <w:color w:val="auto"/>
          <w:spacing w:val="0"/>
          <w:w w:val="100"/>
          <w:kern w:val="2"/>
          <w:sz w:val="32"/>
          <w:szCs w:val="32"/>
          <w:vertAlign w:val="baseline"/>
          <w:lang w:val="en-US" w:eastAsia="zh-CN" w:bidi="ar"/>
        </w:rPr>
        <w:t>二是工作经费缺乏难以开展可研，初设等项目前期工作。由于我县项目前期经费欠款金额大，水利设计单位参与我县的水利项目设计积极性不高，影响水利前期规划编制工作，项目争取难度大。三是水利项目工程欠款大，影响水利工程进度。主要为水利项年未付款，财政支付难度大，影响项目实施。</w:t>
      </w:r>
    </w:p>
    <w:p w14:paraId="19E5B01B">
      <w:pPr>
        <w:overflowPunct w:val="0"/>
        <w:spacing w:line="600" w:lineRule="exact"/>
        <w:ind w:firstLine="643" w:firstLineChars="200"/>
        <w:rPr>
          <w:rFonts w:ascii="Times New Roman" w:hAnsi="Times New Roman" w:eastAsia="仿宋_GB2312" w:cs="Times New Roman"/>
          <w:bCs/>
          <w:sz w:val="32"/>
          <w:szCs w:val="32"/>
        </w:rPr>
      </w:pPr>
      <w:r>
        <w:rPr>
          <w:rFonts w:hint="eastAsia" w:ascii="Times New Roman" w:hAnsi="Times New Roman" w:eastAsia="仿宋_GB2312" w:cs="Times New Roman"/>
          <w:b/>
          <w:bCs/>
          <w:kern w:val="0"/>
          <w:sz w:val="32"/>
          <w:szCs w:val="32"/>
          <w:lang w:eastAsia="zh-CN"/>
        </w:rPr>
        <w:t>（</w:t>
      </w:r>
      <w:r>
        <w:rPr>
          <w:rFonts w:hint="eastAsia" w:ascii="Times New Roman" w:hAnsi="Times New Roman" w:eastAsia="仿宋_GB2312" w:cs="Times New Roman"/>
          <w:b/>
          <w:bCs/>
          <w:kern w:val="0"/>
          <w:sz w:val="32"/>
          <w:szCs w:val="32"/>
          <w:lang w:val="en-US" w:eastAsia="zh-CN"/>
        </w:rPr>
        <w:t>二</w:t>
      </w:r>
      <w:r>
        <w:rPr>
          <w:rFonts w:hint="eastAsia" w:ascii="Times New Roman" w:hAnsi="Times New Roman" w:eastAsia="仿宋_GB2312" w:cs="Times New Roman"/>
          <w:b/>
          <w:bCs/>
          <w:kern w:val="0"/>
          <w:sz w:val="32"/>
          <w:szCs w:val="32"/>
          <w:lang w:eastAsia="zh-CN"/>
        </w:rPr>
        <w:t>）</w:t>
      </w:r>
      <w:r>
        <w:rPr>
          <w:rFonts w:ascii="Times New Roman" w:hAnsi="Times New Roman" w:eastAsia="仿宋_GB2312" w:cs="Times New Roman"/>
          <w:b/>
          <w:bCs/>
          <w:kern w:val="0"/>
          <w:sz w:val="32"/>
          <w:szCs w:val="32"/>
        </w:rPr>
        <w:t>事前绩效评估结果。</w:t>
      </w:r>
      <w:r>
        <w:rPr>
          <w:rFonts w:ascii="Times New Roman" w:hAnsi="Times New Roman" w:eastAsia="仿宋_GB2312" w:cs="Times New Roman"/>
          <w:kern w:val="0"/>
          <w:sz w:val="32"/>
          <w:szCs w:val="32"/>
        </w:rPr>
        <w:t>2024年度</w:t>
      </w:r>
      <w:r>
        <w:rPr>
          <w:rFonts w:hint="eastAsia" w:ascii="Times New Roman" w:hAnsi="Times New Roman" w:eastAsia="仿宋_GB2312" w:cs="Times New Roman"/>
          <w:kern w:val="0"/>
          <w:sz w:val="32"/>
          <w:szCs w:val="32"/>
          <w:lang w:val="en-US" w:eastAsia="zh-CN"/>
        </w:rPr>
        <w:t>对新晃县2024年小型病除水库除险加固工程1个</w:t>
      </w:r>
      <w:r>
        <w:rPr>
          <w:rFonts w:ascii="Times New Roman" w:hAnsi="Times New Roman" w:eastAsia="仿宋_GB2312" w:cs="Times New Roman"/>
          <w:kern w:val="0"/>
          <w:sz w:val="32"/>
          <w:szCs w:val="32"/>
        </w:rPr>
        <w:t>重大项目事前绩效评估，其中，</w:t>
      </w:r>
      <w:r>
        <w:rPr>
          <w:rFonts w:hint="eastAsia" w:ascii="Times New Roman" w:hAnsi="Times New Roman" w:eastAsia="仿宋_GB2312" w:cs="Times New Roman"/>
          <w:kern w:val="0"/>
          <w:sz w:val="32"/>
          <w:szCs w:val="32"/>
          <w:lang w:val="en-US" w:eastAsia="zh-CN"/>
        </w:rPr>
        <w:t>1</w:t>
      </w:r>
      <w:r>
        <w:rPr>
          <w:rFonts w:ascii="Times New Roman" w:hAnsi="Times New Roman" w:eastAsia="仿宋_GB2312" w:cs="Times New Roman"/>
          <w:kern w:val="0"/>
          <w:sz w:val="32"/>
          <w:szCs w:val="32"/>
        </w:rPr>
        <w:t>个项目评估通过，涉及资金</w:t>
      </w:r>
      <w:r>
        <w:rPr>
          <w:rFonts w:hint="eastAsia" w:ascii="Times New Roman" w:hAnsi="Times New Roman" w:eastAsia="仿宋_GB2312" w:cs="Times New Roman"/>
          <w:kern w:val="0"/>
          <w:sz w:val="32"/>
          <w:szCs w:val="32"/>
          <w:lang w:val="en-US" w:eastAsia="zh-CN"/>
        </w:rPr>
        <w:t>2240</w:t>
      </w:r>
      <w:r>
        <w:rPr>
          <w:rFonts w:ascii="Times New Roman" w:hAnsi="Times New Roman" w:eastAsia="仿宋_GB2312" w:cs="Times New Roman"/>
          <w:kern w:val="0"/>
          <w:sz w:val="32"/>
          <w:szCs w:val="32"/>
        </w:rPr>
        <w:t>万元，</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个项目评估不通过，涉及资金</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万元。</w:t>
      </w:r>
    </w:p>
    <w:p w14:paraId="77645950">
      <w:pPr>
        <w:pStyle w:val="7"/>
        <w:overflowPunct w:val="0"/>
        <w:autoSpaceDE/>
        <w:autoSpaceDN/>
        <w:spacing w:line="600" w:lineRule="exact"/>
        <w:ind w:firstLine="643" w:firstLineChars="200"/>
        <w:jc w:val="both"/>
        <w:rPr>
          <w:rFonts w:ascii="Times New Roman" w:hAnsi="Times New Roman" w:eastAsia="楷体_GB2312" w:cs="Times New Roman"/>
          <w:b/>
          <w:bCs/>
          <w:color w:val="auto"/>
          <w:kern w:val="2"/>
          <w:sz w:val="32"/>
          <w:szCs w:val="32"/>
        </w:rPr>
      </w:pPr>
      <w:r>
        <w:rPr>
          <w:rFonts w:hint="eastAsia" w:ascii="Times New Roman" w:hAnsi="Times New Roman" w:eastAsia="楷体_GB2312" w:cs="Times New Roman"/>
          <w:b/>
          <w:bCs/>
          <w:color w:val="auto"/>
          <w:kern w:val="2"/>
          <w:sz w:val="32"/>
          <w:szCs w:val="32"/>
          <w:lang w:val="en-US" w:eastAsia="zh-CN"/>
        </w:rPr>
        <w:t>三、</w:t>
      </w:r>
      <w:r>
        <w:rPr>
          <w:rFonts w:ascii="Times New Roman" w:hAnsi="Times New Roman" w:eastAsia="楷体_GB2312" w:cs="Times New Roman"/>
          <w:b/>
          <w:bCs/>
          <w:color w:val="auto"/>
          <w:kern w:val="2"/>
          <w:sz w:val="32"/>
          <w:szCs w:val="32"/>
        </w:rPr>
        <w:t>评价结果应用情况。</w:t>
      </w:r>
    </w:p>
    <w:p w14:paraId="3520DD23">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both"/>
        <w:textAlignment w:val="auto"/>
        <w:rPr>
          <w:rFonts w:hint="eastAsia" w:ascii="仿宋" w:hAnsi="仿宋" w:eastAsia="仿宋" w:cs="仿宋"/>
          <w:b/>
          <w:bCs/>
          <w:snapToGrid/>
          <w:color w:val="auto"/>
          <w:kern w:val="2"/>
          <w:sz w:val="32"/>
          <w:szCs w:val="32"/>
          <w:highlight w:val="none"/>
          <w:lang w:val="en-US" w:eastAsia="zh-CN" w:bidi="ar-SA"/>
        </w:rPr>
      </w:pPr>
      <w:r>
        <w:rPr>
          <w:rFonts w:hint="eastAsia" w:ascii="仿宋" w:hAnsi="仿宋" w:eastAsia="仿宋" w:cs="仿宋"/>
          <w:snapToGrid/>
          <w:color w:val="auto"/>
          <w:kern w:val="2"/>
          <w:sz w:val="32"/>
          <w:szCs w:val="32"/>
          <w:highlight w:val="none"/>
          <w:lang w:val="en-US" w:eastAsia="zh-CN" w:bidi="ar-SA"/>
        </w:rPr>
        <w:t>通过本次绩效评价，绩效评价工作组发现在决策、过程、产出等方面存在部分问题，具体如下：</w:t>
      </w:r>
    </w:p>
    <w:p w14:paraId="404A430E">
      <w:pPr>
        <w:keepNext w:val="0"/>
        <w:keepLines w:val="0"/>
        <w:pageBreakBefore w:val="0"/>
        <w:wordWrap/>
        <w:overflowPunct/>
        <w:topLinePunct w:val="0"/>
        <w:bidi w:val="0"/>
        <w:spacing w:line="580" w:lineRule="exact"/>
        <w:ind w:firstLine="640" w:firstLineChars="200"/>
        <w:rPr>
          <w:rFonts w:hint="eastAsia" w:ascii="仿宋_GB2312" w:hAnsi="仿宋_GB2312" w:eastAsia="仿宋_GB2312" w:cs="仿宋_GB2312"/>
          <w:color w:val="auto"/>
          <w:spacing w:val="0"/>
          <w:w w:val="100"/>
          <w:kern w:val="2"/>
          <w:sz w:val="32"/>
          <w:szCs w:val="32"/>
          <w:vertAlign w:val="baseline"/>
          <w:lang w:val="en-US" w:eastAsia="zh-CN" w:bidi="ar"/>
        </w:rPr>
      </w:pPr>
      <w:r>
        <w:rPr>
          <w:rFonts w:hint="eastAsia" w:ascii="仿宋_GB2312" w:hAnsi="仿宋_GB2312" w:eastAsia="仿宋_GB2312" w:cs="仿宋_GB2312"/>
          <w:color w:val="auto"/>
          <w:spacing w:val="0"/>
          <w:w w:val="100"/>
          <w:kern w:val="2"/>
          <w:sz w:val="32"/>
          <w:szCs w:val="32"/>
          <w:vertAlign w:val="baseline"/>
          <w:lang w:val="en-US" w:eastAsia="zh-CN" w:bidi="ar"/>
        </w:rPr>
        <w:t>1、由于财政一般预算安排公用经费及专项业务费2024年只有95.8158万元，实际每年的公用及政策性奖励支出都在150万元以上，部门预算支出来源严重不足，在编制预算时只得实行以收定支，建议财政预算加大对公用经费及前期经费的安排，弥补单位支出的刚性所需。</w:t>
      </w:r>
    </w:p>
    <w:p w14:paraId="233397ED">
      <w:pPr>
        <w:keepNext w:val="0"/>
        <w:keepLines w:val="0"/>
        <w:pageBreakBefore w:val="0"/>
        <w:wordWrap/>
        <w:overflowPunct/>
        <w:topLinePunct w:val="0"/>
        <w:bidi w:val="0"/>
        <w:spacing w:line="580" w:lineRule="exact"/>
        <w:ind w:firstLine="640" w:firstLineChars="200"/>
        <w:rPr>
          <w:rFonts w:hint="default" w:ascii="仿宋_GB2312" w:hAnsi="仿宋_GB2312" w:eastAsia="仿宋_GB2312" w:cs="仿宋_GB2312"/>
          <w:color w:val="auto"/>
          <w:spacing w:val="0"/>
          <w:w w:val="100"/>
          <w:kern w:val="2"/>
          <w:sz w:val="32"/>
          <w:szCs w:val="32"/>
          <w:vertAlign w:val="baseline"/>
          <w:lang w:val="en-US" w:eastAsia="zh-CN" w:bidi="ar"/>
        </w:rPr>
      </w:pPr>
      <w:r>
        <w:rPr>
          <w:rFonts w:hint="eastAsia" w:ascii="仿宋_GB2312" w:hAnsi="仿宋_GB2312" w:eastAsia="仿宋_GB2312" w:cs="仿宋_GB2312"/>
          <w:color w:val="auto"/>
          <w:spacing w:val="0"/>
          <w:w w:val="100"/>
          <w:kern w:val="2"/>
          <w:sz w:val="32"/>
          <w:szCs w:val="32"/>
          <w:vertAlign w:val="baseline"/>
          <w:lang w:val="en-US" w:eastAsia="zh-CN" w:bidi="ar"/>
        </w:rPr>
        <w:t>2、财政预算资金拨付款迟缓，不利于年度预算的执行以及项目支出按计划的正常实施。建议财政及时拨付工程款，确保预算的正常执行。</w:t>
      </w:r>
    </w:p>
    <w:p w14:paraId="6A9E4A80">
      <w:pPr>
        <w:keepNext w:val="0"/>
        <w:keepLines w:val="0"/>
        <w:pageBreakBefore w:val="0"/>
        <w:wordWrap/>
        <w:overflowPunct/>
        <w:topLinePunct w:val="0"/>
        <w:bidi w:val="0"/>
        <w:spacing w:line="580" w:lineRule="exact"/>
        <w:ind w:firstLine="640" w:firstLineChars="200"/>
        <w:rPr>
          <w:rFonts w:hint="eastAsia" w:ascii="Times New Roman" w:hAnsi="Times New Roman" w:eastAsia="仿宋_GB2312" w:cs="Times New Roman"/>
          <w:kern w:val="0"/>
          <w:sz w:val="32"/>
          <w:szCs w:val="32"/>
          <w:lang w:val="en-US" w:eastAsia="zh-CN"/>
        </w:rPr>
      </w:pPr>
      <w:r>
        <w:rPr>
          <w:rFonts w:hint="eastAsia" w:ascii="仿宋_GB2312" w:hAnsi="仿宋_GB2312" w:eastAsia="仿宋_GB2312" w:cs="仿宋_GB2312"/>
          <w:color w:val="auto"/>
          <w:spacing w:val="0"/>
          <w:w w:val="100"/>
          <w:kern w:val="2"/>
          <w:sz w:val="32"/>
          <w:szCs w:val="32"/>
          <w:vertAlign w:val="baseline"/>
          <w:lang w:val="en-US" w:eastAsia="zh-CN" w:bidi="ar"/>
        </w:rPr>
        <w:t>3、项目过程控制有效性有待提升。</w:t>
      </w:r>
      <w:r>
        <w:rPr>
          <w:rFonts w:ascii="Times New Roman" w:hAnsi="Times New Roman" w:eastAsia="仿宋_GB2312" w:cs="Times New Roman"/>
          <w:kern w:val="0"/>
          <w:sz w:val="32"/>
          <w:szCs w:val="32"/>
        </w:rPr>
        <w:t>2024年度</w:t>
      </w:r>
      <w:r>
        <w:rPr>
          <w:rFonts w:hint="eastAsia" w:ascii="Times New Roman" w:hAnsi="Times New Roman" w:eastAsia="仿宋_GB2312" w:cs="Times New Roman"/>
          <w:kern w:val="0"/>
          <w:sz w:val="32"/>
          <w:szCs w:val="32"/>
          <w:lang w:val="en-US" w:eastAsia="zh-CN"/>
        </w:rPr>
        <w:t>对新晃县2024年小型病除水库除险加固工程1个</w:t>
      </w:r>
      <w:r>
        <w:rPr>
          <w:rFonts w:ascii="Times New Roman" w:hAnsi="Times New Roman" w:eastAsia="仿宋_GB2312" w:cs="Times New Roman"/>
          <w:kern w:val="0"/>
          <w:sz w:val="32"/>
          <w:szCs w:val="32"/>
        </w:rPr>
        <w:t>重大项目事前绩效评估</w:t>
      </w:r>
      <w:r>
        <w:rPr>
          <w:rFonts w:hint="eastAsia" w:ascii="Times New Roman" w:hAnsi="Times New Roman" w:eastAsia="仿宋_GB2312" w:cs="Times New Roman"/>
          <w:kern w:val="0"/>
          <w:sz w:val="32"/>
          <w:szCs w:val="32"/>
          <w:lang w:val="en-US" w:eastAsia="zh-CN"/>
        </w:rPr>
        <w:t>中未就该项目制定专门的清理、退出、调整机制，也未见国土规划许可，红线图占用农田的相关证明。要求根据《新晃县2024年小型病险水库除险加固工程初步设计报告》完善和执行相关业务制度和管理办法，保证项目顺利实施。</w:t>
      </w:r>
    </w:p>
    <w:p w14:paraId="4065F15C">
      <w:pPr>
        <w:keepNext w:val="0"/>
        <w:keepLines w:val="0"/>
        <w:pageBreakBefore w:val="0"/>
        <w:wordWrap/>
        <w:overflowPunct/>
        <w:topLinePunct w:val="0"/>
        <w:bidi w:val="0"/>
        <w:spacing w:line="580" w:lineRule="exact"/>
        <w:ind w:firstLine="640" w:firstLineChars="200"/>
        <w:rPr>
          <w:rFonts w:hint="eastAsia" w:ascii="Times New Roman" w:hAnsi="Times New Roman" w:eastAsia="仿宋_GB2312" w:cs="Times New Roman"/>
          <w:kern w:val="0"/>
          <w:sz w:val="32"/>
          <w:szCs w:val="32"/>
          <w:lang w:val="en-US" w:eastAsia="zh-CN"/>
        </w:rPr>
      </w:pPr>
    </w:p>
    <w:p w14:paraId="6A460257">
      <w:pPr>
        <w:keepNext w:val="0"/>
        <w:keepLines w:val="0"/>
        <w:pageBreakBefore w:val="0"/>
        <w:wordWrap/>
        <w:overflowPunct/>
        <w:topLinePunct w:val="0"/>
        <w:bidi w:val="0"/>
        <w:spacing w:line="580" w:lineRule="exact"/>
        <w:ind w:firstLine="640" w:firstLineChars="200"/>
        <w:rPr>
          <w:rFonts w:hint="eastAsia" w:ascii="Times New Roman" w:hAnsi="Times New Roman" w:eastAsia="仿宋_GB2312" w:cs="Times New Roman"/>
          <w:kern w:val="0"/>
          <w:sz w:val="32"/>
          <w:szCs w:val="32"/>
          <w:lang w:val="en-US" w:eastAsia="zh-CN"/>
        </w:rPr>
      </w:pPr>
    </w:p>
    <w:p w14:paraId="6BEAB59E">
      <w:pPr>
        <w:keepNext w:val="0"/>
        <w:keepLines w:val="0"/>
        <w:pageBreakBefore w:val="0"/>
        <w:wordWrap/>
        <w:overflowPunct/>
        <w:topLinePunct w:val="0"/>
        <w:bidi w:val="0"/>
        <w:spacing w:line="580" w:lineRule="exact"/>
        <w:ind w:firstLine="640" w:firstLineChars="200"/>
        <w:rPr>
          <w:rFonts w:hint="default" w:ascii="Times New Roman" w:hAnsi="Times New Roman" w:eastAsia="仿宋_GB2312" w:cs="Times New Roman"/>
          <w:kern w:val="0"/>
          <w:sz w:val="32"/>
          <w:szCs w:val="32"/>
          <w:lang w:val="en-US" w:eastAsia="zh-CN"/>
        </w:rPr>
      </w:pPr>
      <w:r>
        <w:rPr>
          <w:rFonts w:hint="eastAsia" w:ascii="Times New Roman" w:hAnsi="Times New Roman" w:eastAsia="仿宋_GB2312" w:cs="Times New Roman"/>
          <w:kern w:val="0"/>
          <w:sz w:val="32"/>
          <w:szCs w:val="32"/>
          <w:lang w:val="en-US" w:eastAsia="zh-CN"/>
        </w:rPr>
        <w:t xml:space="preserve">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EE098"/>
    <w:multiLevelType w:val="singleLevel"/>
    <w:tmpl w:val="10CEE098"/>
    <w:lvl w:ilvl="0" w:tentative="0">
      <w:start w:val="1"/>
      <w:numFmt w:val="chineseCounting"/>
      <w:suff w:val="nothing"/>
      <w:lvlText w:val="（%1）"/>
      <w:lvlJc w:val="left"/>
      <w:rPr>
        <w:rFonts w:hint="eastAsia"/>
      </w:rPr>
    </w:lvl>
  </w:abstractNum>
  <w:abstractNum w:abstractNumId="1">
    <w:nsid w:val="63816FC6"/>
    <w:multiLevelType w:val="singleLevel"/>
    <w:tmpl w:val="63816FC6"/>
    <w:lvl w:ilvl="0" w:tentative="0">
      <w:start w:val="2"/>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FiZjM2MjQwZTcwNjYyYzc4NDQ2ZDkzYWM3NGZmNDAifQ=="/>
  </w:docVars>
  <w:rsids>
    <w:rsidRoot w:val="00000000"/>
    <w:rsid w:val="050414F1"/>
    <w:rsid w:val="0A2D14EA"/>
    <w:rsid w:val="133807DE"/>
    <w:rsid w:val="190539D1"/>
    <w:rsid w:val="1D8B2357"/>
    <w:rsid w:val="28727C0F"/>
    <w:rsid w:val="35FC399A"/>
    <w:rsid w:val="37713D3B"/>
    <w:rsid w:val="3B98278A"/>
    <w:rsid w:val="3BD809C6"/>
    <w:rsid w:val="3D191A91"/>
    <w:rsid w:val="3E3F33DE"/>
    <w:rsid w:val="3F7C3B5C"/>
    <w:rsid w:val="45BE4890"/>
    <w:rsid w:val="489A18C8"/>
    <w:rsid w:val="4FE6591E"/>
    <w:rsid w:val="506374B2"/>
    <w:rsid w:val="531F3858"/>
    <w:rsid w:val="5FD33C33"/>
    <w:rsid w:val="6A482A02"/>
    <w:rsid w:val="6AC61871"/>
    <w:rsid w:val="6C1C3303"/>
    <w:rsid w:val="6F0C36BF"/>
    <w:rsid w:val="72250083"/>
    <w:rsid w:val="727342FE"/>
    <w:rsid w:val="749E34FA"/>
    <w:rsid w:val="75045D38"/>
    <w:rsid w:val="798412AA"/>
    <w:rsid w:val="7BB26C07"/>
    <w:rsid w:val="7BF451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Indent"/>
    <w:basedOn w:val="1"/>
    <w:next w:val="3"/>
    <w:unhideWhenUsed/>
    <w:qFormat/>
    <w:uiPriority w:val="99"/>
    <w:pPr>
      <w:widowControl/>
      <w:spacing w:after="120"/>
      <w:ind w:left="420" w:leftChars="200"/>
      <w:jc w:val="left"/>
    </w:pPr>
    <w:rPr>
      <w:rFonts w:ascii="宋体" w:hAnsi="宋体" w:eastAsia="宋体" w:cs="宋体"/>
      <w:kern w:val="0"/>
      <w:sz w:val="24"/>
    </w:rPr>
  </w:style>
  <w:style w:type="paragraph" w:styleId="3">
    <w:name w:val="Body Text First Indent 2"/>
    <w:basedOn w:val="2"/>
    <w:next w:val="1"/>
    <w:unhideWhenUsed/>
    <w:qFormat/>
    <w:uiPriority w:val="99"/>
    <w:pPr>
      <w:ind w:firstLine="420" w:firstLineChars="200"/>
    </w:pPr>
  </w:style>
  <w:style w:type="paragraph" w:styleId="4">
    <w:name w:val="footnote text"/>
    <w:basedOn w:val="1"/>
    <w:next w:val="3"/>
    <w:semiHidden/>
    <w:qFormat/>
    <w:uiPriority w:val="0"/>
    <w:pPr>
      <w:snapToGrid w:val="0"/>
      <w:jc w:val="left"/>
    </w:pPr>
    <w:rPr>
      <w:sz w:val="18"/>
      <w:szCs w:val="18"/>
    </w:rPr>
  </w:style>
  <w:style w:type="paragraph" w:customStyle="1" w:styleId="7">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1773</Words>
  <Characters>1886</Characters>
  <Lines>0</Lines>
  <Paragraphs>0</Paragraphs>
  <TotalTime>76</TotalTime>
  <ScaleCrop>false</ScaleCrop>
  <LinksUpToDate>false</LinksUpToDate>
  <CharactersWithSpaces>1948</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2025-11-03T02:38:32Z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12A71744045445B687D66BD13FB312DC_12</vt:lpwstr>
  </property>
  <property fmtid="{D5CDD505-2E9C-101B-9397-08002B2CF9AE}" pid="4" name="KSOTemplateDocerSaveRecord">
    <vt:lpwstr>eyJoZGlkIjoiNzJhYWFlNWU2ZDI3Zjc5MTcyNTQxYTEyOWRhZDM4ODAifQ==</vt:lpwstr>
  </property>
</Properties>
</file>